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E0CA" w14:textId="77777777" w:rsidR="00C13A35" w:rsidRDefault="00C13A35">
      <w:pPr>
        <w:pStyle w:val="TableParagraph"/>
        <w:spacing w:before="127" w:line="278" w:lineRule="auto"/>
        <w:ind w:left="77" w:right="66"/>
        <w:rPr>
          <w:b/>
          <w:bCs/>
          <w:sz w:val="15"/>
        </w:rPr>
      </w:pPr>
    </w:p>
    <w:tbl>
      <w:tblPr>
        <w:tblW w:w="1098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1729"/>
        <w:gridCol w:w="8282"/>
      </w:tblGrid>
      <w:tr w:rsidR="00C13A35" w14:paraId="74314247" w14:textId="77777777">
        <w:trPr>
          <w:trHeight w:val="368"/>
        </w:trPr>
        <w:tc>
          <w:tcPr>
            <w:tcW w:w="10980" w:type="dxa"/>
            <w:gridSpan w:val="4"/>
            <w:tcBorders>
              <w:top w:val="single" w:sz="4" w:space="0" w:color="auto"/>
            </w:tcBorders>
            <w:vAlign w:val="center"/>
          </w:tcPr>
          <w:p w14:paraId="5EF19014" w14:textId="77777777" w:rsidR="00C13A35" w:rsidRDefault="00B4788E">
            <w:pPr>
              <w:pStyle w:val="TableParagraph"/>
              <w:spacing w:before="127" w:line="278" w:lineRule="auto"/>
              <w:ind w:left="77" w:right="66"/>
              <w:rPr>
                <w:b/>
                <w:bCs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lang w:eastAsia="zh-CN"/>
              </w:rPr>
              <w:t>第十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届“工行杯”湖北省大学生经济学术研讨会暨论文征集大赛决赛作品信息</w:t>
            </w:r>
          </w:p>
        </w:tc>
      </w:tr>
      <w:tr w:rsidR="00C13A35" w14:paraId="6139480B" w14:textId="77777777">
        <w:trPr>
          <w:trHeight w:val="334"/>
        </w:trPr>
        <w:tc>
          <w:tcPr>
            <w:tcW w:w="484" w:type="dxa"/>
          </w:tcPr>
          <w:p w14:paraId="20C89707" w14:textId="77777777" w:rsidR="00C13A35" w:rsidRDefault="00B4788E">
            <w:pPr>
              <w:pStyle w:val="TableParagraph"/>
              <w:spacing w:before="116"/>
              <w:ind w:left="0"/>
              <w:rPr>
                <w:sz w:val="16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序号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14:paraId="4A56BD7C" w14:textId="77777777" w:rsidR="00C13A35" w:rsidRDefault="00B4788E" w:rsidP="007C3C8C">
            <w:pPr>
              <w:pStyle w:val="TableParagraph"/>
              <w:spacing w:before="127" w:line="278" w:lineRule="auto"/>
              <w:ind w:left="77" w:right="6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研究生</w:t>
            </w:r>
          </w:p>
        </w:tc>
        <w:tc>
          <w:tcPr>
            <w:tcW w:w="1729" w:type="dxa"/>
          </w:tcPr>
          <w:p w14:paraId="7CB024FF" w14:textId="77777777" w:rsidR="00C13A35" w:rsidRDefault="00B4788E" w:rsidP="007C3C8C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学校</w:t>
            </w:r>
          </w:p>
        </w:tc>
        <w:tc>
          <w:tcPr>
            <w:tcW w:w="8282" w:type="dxa"/>
          </w:tcPr>
          <w:p w14:paraId="0C883A82" w14:textId="77777777" w:rsidR="00C13A35" w:rsidRDefault="00B4788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篇名</w:t>
            </w:r>
          </w:p>
        </w:tc>
      </w:tr>
      <w:tr w:rsidR="00C13A35" w14:paraId="3EA7F250" w14:textId="77777777">
        <w:trPr>
          <w:trHeight w:val="334"/>
        </w:trPr>
        <w:tc>
          <w:tcPr>
            <w:tcW w:w="484" w:type="dxa"/>
          </w:tcPr>
          <w:p w14:paraId="6D8DBE63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71CDC77C" w14:textId="77777777" w:rsidR="00C13A35" w:rsidRDefault="00C13A35" w:rsidP="007C3C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7E6AD30F" w14:textId="77777777" w:rsidR="00C13A35" w:rsidRDefault="00B4788E" w:rsidP="007C3C8C">
            <w:pPr>
              <w:pStyle w:val="TableParagraph"/>
              <w:spacing w:before="70"/>
              <w:ind w:right="19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河北大学</w:t>
            </w:r>
          </w:p>
        </w:tc>
        <w:tc>
          <w:tcPr>
            <w:tcW w:w="8282" w:type="dxa"/>
            <w:vAlign w:val="center"/>
          </w:tcPr>
          <w:p w14:paraId="632FDFC2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Analysis of Hebei Province's Economic Vitality and Its Influencing Factors</w:t>
            </w:r>
          </w:p>
        </w:tc>
      </w:tr>
      <w:tr w:rsidR="00C13A35" w14:paraId="3C9C7340" w14:textId="77777777">
        <w:trPr>
          <w:trHeight w:val="334"/>
        </w:trPr>
        <w:tc>
          <w:tcPr>
            <w:tcW w:w="484" w:type="dxa"/>
          </w:tcPr>
          <w:p w14:paraId="4C07C2ED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60CDCC19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21BB84B" w14:textId="77777777" w:rsidR="00C13A35" w:rsidRDefault="00B4788E" w:rsidP="007C3C8C">
            <w:pPr>
              <w:pStyle w:val="TableParagraph"/>
              <w:spacing w:before="71"/>
              <w:ind w:right="19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广西大学</w:t>
            </w:r>
          </w:p>
        </w:tc>
        <w:tc>
          <w:tcPr>
            <w:tcW w:w="8282" w:type="dxa"/>
            <w:vAlign w:val="center"/>
          </w:tcPr>
          <w:p w14:paraId="0C79ED97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家庭金融文化、认知偏差与金融资产选择——来自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CFPS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数据的经验分析</w:t>
            </w:r>
          </w:p>
        </w:tc>
      </w:tr>
      <w:tr w:rsidR="00C13A35" w14:paraId="16CC3E4F" w14:textId="77777777">
        <w:trPr>
          <w:trHeight w:val="334"/>
        </w:trPr>
        <w:tc>
          <w:tcPr>
            <w:tcW w:w="484" w:type="dxa"/>
          </w:tcPr>
          <w:p w14:paraId="58FE3D55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2C83D2FA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8418647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西南财经大学</w:t>
            </w:r>
          </w:p>
        </w:tc>
        <w:tc>
          <w:tcPr>
            <w:tcW w:w="8282" w:type="dxa"/>
            <w:vAlign w:val="center"/>
          </w:tcPr>
          <w:p w14:paraId="64C93A3E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家庭资本与农户收入：基于信贷行为的视角分析</w:t>
            </w:r>
          </w:p>
        </w:tc>
      </w:tr>
      <w:tr w:rsidR="00C13A35" w14:paraId="7AE4492F" w14:textId="77777777">
        <w:trPr>
          <w:trHeight w:val="334"/>
        </w:trPr>
        <w:tc>
          <w:tcPr>
            <w:tcW w:w="484" w:type="dxa"/>
          </w:tcPr>
          <w:p w14:paraId="347F11C0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09D8BD4F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AE328E9" w14:textId="77777777" w:rsidR="00C13A35" w:rsidRDefault="00B4788E" w:rsidP="007C3C8C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西南财经大学</w:t>
            </w:r>
          </w:p>
        </w:tc>
        <w:tc>
          <w:tcPr>
            <w:tcW w:w="8282" w:type="dxa"/>
            <w:vAlign w:val="center"/>
          </w:tcPr>
          <w:p w14:paraId="57A548BC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出生地城市，成长环境与个体未来收入水平</w:t>
            </w:r>
          </w:p>
        </w:tc>
      </w:tr>
      <w:tr w:rsidR="00C13A35" w14:paraId="0EC708D7" w14:textId="77777777">
        <w:trPr>
          <w:trHeight w:val="334"/>
        </w:trPr>
        <w:tc>
          <w:tcPr>
            <w:tcW w:w="484" w:type="dxa"/>
          </w:tcPr>
          <w:p w14:paraId="22D877B4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6574EFF5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226735A" w14:textId="77777777" w:rsidR="00C13A35" w:rsidRDefault="00B4788E" w:rsidP="007C3C8C">
            <w:pPr>
              <w:pStyle w:val="TableParagraph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兰州财经大学</w:t>
            </w:r>
          </w:p>
        </w:tc>
        <w:tc>
          <w:tcPr>
            <w:tcW w:w="8282" w:type="dxa"/>
            <w:vAlign w:val="center"/>
          </w:tcPr>
          <w:p w14:paraId="28242C5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甘肃省县域经济发展时空格局演变研究</w:t>
            </w:r>
          </w:p>
        </w:tc>
      </w:tr>
      <w:tr w:rsidR="00C13A35" w14:paraId="2592D935" w14:textId="77777777">
        <w:trPr>
          <w:trHeight w:val="334"/>
        </w:trPr>
        <w:tc>
          <w:tcPr>
            <w:tcW w:w="484" w:type="dxa"/>
          </w:tcPr>
          <w:p w14:paraId="04AAC8CC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26E5DF6D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BB91D9B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华中农业大学</w:t>
            </w:r>
            <w:proofErr w:type="spellEnd"/>
          </w:p>
        </w:tc>
        <w:tc>
          <w:tcPr>
            <w:tcW w:w="8282" w:type="dxa"/>
            <w:vAlign w:val="center"/>
          </w:tcPr>
          <w:p w14:paraId="67B1A84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化肥减量替代：农户的策略选择与影响因素</w:t>
            </w:r>
          </w:p>
        </w:tc>
      </w:tr>
      <w:tr w:rsidR="00C13A35" w14:paraId="2BAC17F9" w14:textId="77777777">
        <w:trPr>
          <w:trHeight w:val="334"/>
        </w:trPr>
        <w:tc>
          <w:tcPr>
            <w:tcW w:w="484" w:type="dxa"/>
          </w:tcPr>
          <w:p w14:paraId="0DA39F6C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5927AB8E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61ED3EB3" w14:textId="77777777" w:rsidR="00C13A35" w:rsidRDefault="00B4788E" w:rsidP="007C3C8C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武汉大学</w:t>
            </w:r>
          </w:p>
        </w:tc>
        <w:tc>
          <w:tcPr>
            <w:tcW w:w="8282" w:type="dxa"/>
            <w:vAlign w:val="center"/>
          </w:tcPr>
          <w:p w14:paraId="658B4A3E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中国城镇居民家庭住房不平等测度及其影响因素分析</w:t>
            </w:r>
          </w:p>
        </w:tc>
      </w:tr>
      <w:tr w:rsidR="00C13A35" w14:paraId="06626FFE" w14:textId="77777777">
        <w:trPr>
          <w:trHeight w:val="334"/>
        </w:trPr>
        <w:tc>
          <w:tcPr>
            <w:tcW w:w="484" w:type="dxa"/>
          </w:tcPr>
          <w:p w14:paraId="04207112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6B9E6932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3736A311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安徽财经大学</w:t>
            </w:r>
          </w:p>
        </w:tc>
        <w:tc>
          <w:tcPr>
            <w:tcW w:w="8282" w:type="dxa"/>
            <w:vAlign w:val="center"/>
          </w:tcPr>
          <w:p w14:paraId="461A9F6A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市场分割是否影响了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OFDI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逆向技术溢出的创新效应</w:t>
            </w:r>
          </w:p>
        </w:tc>
      </w:tr>
      <w:tr w:rsidR="00C13A35" w14:paraId="49ABB995" w14:textId="77777777">
        <w:trPr>
          <w:trHeight w:val="334"/>
        </w:trPr>
        <w:tc>
          <w:tcPr>
            <w:tcW w:w="484" w:type="dxa"/>
          </w:tcPr>
          <w:p w14:paraId="096F0585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0333732C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67D606C5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中国海洋大学</w:t>
            </w:r>
          </w:p>
        </w:tc>
        <w:tc>
          <w:tcPr>
            <w:tcW w:w="8282" w:type="dxa"/>
            <w:vAlign w:val="center"/>
          </w:tcPr>
          <w:p w14:paraId="18CE9EB8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更多的冲突还是更大的和平？基于中美贸易关系的研究</w:t>
            </w:r>
          </w:p>
        </w:tc>
      </w:tr>
      <w:tr w:rsidR="00C13A35" w14:paraId="2446F75C" w14:textId="77777777">
        <w:trPr>
          <w:trHeight w:val="334"/>
        </w:trPr>
        <w:tc>
          <w:tcPr>
            <w:tcW w:w="484" w:type="dxa"/>
          </w:tcPr>
          <w:p w14:paraId="5BFB6092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55B499E7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0C811D18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5045E3F4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基于生命周期视角的格力电器股利政策变更研究</w:t>
            </w:r>
          </w:p>
        </w:tc>
      </w:tr>
      <w:tr w:rsidR="00C13A35" w14:paraId="11CF588F" w14:textId="77777777">
        <w:trPr>
          <w:trHeight w:val="334"/>
        </w:trPr>
        <w:tc>
          <w:tcPr>
            <w:tcW w:w="484" w:type="dxa"/>
          </w:tcPr>
          <w:p w14:paraId="518C5797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10092D86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4B243636" w14:textId="77777777" w:rsidR="00C13A35" w:rsidRDefault="00B4788E" w:rsidP="007C3C8C">
            <w:pPr>
              <w:pStyle w:val="TableParagraph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2" w:type="dxa"/>
            <w:vAlign w:val="center"/>
          </w:tcPr>
          <w:p w14:paraId="474088DD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绿色防控技术的节本增收效应分析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黄炎忠</w:t>
            </w:r>
            <w:proofErr w:type="gramEnd"/>
          </w:p>
        </w:tc>
      </w:tr>
      <w:tr w:rsidR="00C13A35" w14:paraId="0A570D15" w14:textId="77777777">
        <w:trPr>
          <w:trHeight w:val="334"/>
        </w:trPr>
        <w:tc>
          <w:tcPr>
            <w:tcW w:w="484" w:type="dxa"/>
          </w:tcPr>
          <w:p w14:paraId="5A852A5C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41B6DF0B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1F9777BF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华中科技大学</w:t>
            </w:r>
          </w:p>
        </w:tc>
        <w:tc>
          <w:tcPr>
            <w:tcW w:w="8282" w:type="dxa"/>
            <w:vAlign w:val="center"/>
          </w:tcPr>
          <w:p w14:paraId="10D9B08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金融深化对城乡居民消费水平及消费结构的影响分析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周瑭乐</w:t>
            </w:r>
          </w:p>
        </w:tc>
      </w:tr>
      <w:tr w:rsidR="00C13A35" w14:paraId="7EADFA56" w14:textId="77777777">
        <w:trPr>
          <w:trHeight w:val="334"/>
        </w:trPr>
        <w:tc>
          <w:tcPr>
            <w:tcW w:w="484" w:type="dxa"/>
          </w:tcPr>
          <w:p w14:paraId="489D9BC5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616DB6CC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490A8EF8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2" w:type="dxa"/>
            <w:vAlign w:val="center"/>
          </w:tcPr>
          <w:p w14:paraId="351B9849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环境规制、环境认知与农户村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域环境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治理参与意愿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唐林</w:t>
            </w:r>
            <w:proofErr w:type="gramEnd"/>
          </w:p>
        </w:tc>
      </w:tr>
      <w:tr w:rsidR="00C13A35" w14:paraId="138C7749" w14:textId="77777777">
        <w:trPr>
          <w:trHeight w:val="334"/>
        </w:trPr>
        <w:tc>
          <w:tcPr>
            <w:tcW w:w="484" w:type="dxa"/>
          </w:tcPr>
          <w:p w14:paraId="7369C2EE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3B6810E2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225C81A6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51E68516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含时间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幂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次项的灰色伯努利模型在信贷规模中的预测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黄宝莲</w:t>
            </w:r>
          </w:p>
        </w:tc>
      </w:tr>
      <w:tr w:rsidR="00C13A35" w14:paraId="29D5F5B6" w14:textId="77777777">
        <w:trPr>
          <w:trHeight w:val="334"/>
        </w:trPr>
        <w:tc>
          <w:tcPr>
            <w:tcW w:w="484" w:type="dxa"/>
          </w:tcPr>
          <w:p w14:paraId="0EC8DA47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4A6A9675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761AD6F9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武汉理工大学</w:t>
            </w:r>
            <w:proofErr w:type="spellEnd"/>
          </w:p>
        </w:tc>
        <w:tc>
          <w:tcPr>
            <w:tcW w:w="8282" w:type="dxa"/>
            <w:vAlign w:val="center"/>
          </w:tcPr>
          <w:p w14:paraId="7EB611CE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就业创造、溢出与反馈：增加值视角下的区域就业关联测算</w:t>
            </w:r>
          </w:p>
        </w:tc>
      </w:tr>
      <w:tr w:rsidR="00C13A35" w14:paraId="41BF6783" w14:textId="77777777">
        <w:trPr>
          <w:trHeight w:val="334"/>
        </w:trPr>
        <w:tc>
          <w:tcPr>
            <w:tcW w:w="484" w:type="dxa"/>
          </w:tcPr>
          <w:p w14:paraId="104013EC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0548FF2F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C725543" w14:textId="77777777" w:rsidR="00C13A35" w:rsidRDefault="00B4788E" w:rsidP="007C3C8C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安徽财经大学</w:t>
            </w:r>
          </w:p>
        </w:tc>
        <w:tc>
          <w:tcPr>
            <w:tcW w:w="8282" w:type="dxa"/>
            <w:vAlign w:val="center"/>
          </w:tcPr>
          <w:p w14:paraId="293DC51B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中国对一带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一路国家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出口关系生存率研究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唐小宇</w:t>
            </w:r>
          </w:p>
        </w:tc>
      </w:tr>
      <w:tr w:rsidR="00C13A35" w14:paraId="00E1E996" w14:textId="77777777">
        <w:trPr>
          <w:trHeight w:val="334"/>
        </w:trPr>
        <w:tc>
          <w:tcPr>
            <w:tcW w:w="484" w:type="dxa"/>
          </w:tcPr>
          <w:p w14:paraId="66F2EA19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100BB54D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2C36F3E3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武汉理工大学</w:t>
            </w:r>
            <w:proofErr w:type="spellEnd"/>
          </w:p>
        </w:tc>
        <w:tc>
          <w:tcPr>
            <w:tcW w:w="8282" w:type="dxa"/>
            <w:vAlign w:val="center"/>
          </w:tcPr>
          <w:p w14:paraId="533705A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高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管海外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背景、技术创新与就业效应基于海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归高管类化作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用的门槛模型检验</w:t>
            </w:r>
          </w:p>
        </w:tc>
      </w:tr>
      <w:tr w:rsidR="00C13A35" w14:paraId="163215ED" w14:textId="77777777">
        <w:trPr>
          <w:trHeight w:val="334"/>
        </w:trPr>
        <w:tc>
          <w:tcPr>
            <w:tcW w:w="484" w:type="dxa"/>
          </w:tcPr>
          <w:p w14:paraId="75CADF41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02E3B090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73F92B33" w14:textId="77777777" w:rsidR="00C13A35" w:rsidRDefault="00B4788E" w:rsidP="007C3C8C">
            <w:pPr>
              <w:pStyle w:val="TableParagraph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广西大学</w:t>
            </w:r>
          </w:p>
        </w:tc>
        <w:tc>
          <w:tcPr>
            <w:tcW w:w="8282" w:type="dxa"/>
            <w:vAlign w:val="center"/>
          </w:tcPr>
          <w:p w14:paraId="38FB27C9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外部性和内生性视域下我国科技投入绩效——基于政府与市场的比较</w:t>
            </w:r>
          </w:p>
        </w:tc>
      </w:tr>
      <w:tr w:rsidR="00C13A35" w14:paraId="5D581B14" w14:textId="77777777">
        <w:trPr>
          <w:trHeight w:val="334"/>
        </w:trPr>
        <w:tc>
          <w:tcPr>
            <w:tcW w:w="484" w:type="dxa"/>
          </w:tcPr>
          <w:p w14:paraId="1A7FD8A7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35A730F2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6A0D892E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武汉理工大学</w:t>
            </w:r>
            <w:proofErr w:type="spellEnd"/>
          </w:p>
        </w:tc>
        <w:tc>
          <w:tcPr>
            <w:tcW w:w="8282" w:type="dxa"/>
            <w:vAlign w:val="center"/>
          </w:tcPr>
          <w:p w14:paraId="24549EAD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FDI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技术溢出理论视角下双元创新驱动的制造业服务化</w:t>
            </w:r>
          </w:p>
        </w:tc>
      </w:tr>
      <w:tr w:rsidR="00C13A35" w14:paraId="228F28EE" w14:textId="77777777">
        <w:trPr>
          <w:trHeight w:val="334"/>
        </w:trPr>
        <w:tc>
          <w:tcPr>
            <w:tcW w:w="484" w:type="dxa"/>
          </w:tcPr>
          <w:p w14:paraId="1813AC01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45BA5EC1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19D1FB64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2" w:type="dxa"/>
            <w:vAlign w:val="center"/>
          </w:tcPr>
          <w:p w14:paraId="27A5E6AC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动态能力如何影响中小型农产品电商企业绩效？</w:t>
            </w:r>
          </w:p>
        </w:tc>
      </w:tr>
      <w:tr w:rsidR="00C13A35" w14:paraId="3495FA95" w14:textId="77777777">
        <w:trPr>
          <w:trHeight w:val="334"/>
        </w:trPr>
        <w:tc>
          <w:tcPr>
            <w:tcW w:w="484" w:type="dxa"/>
          </w:tcPr>
          <w:p w14:paraId="69220122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58926AEA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041C6CA0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</w:t>
            </w:r>
            <w:r>
              <w:rPr>
                <w:rFonts w:hint="eastAsia"/>
                <w:sz w:val="13"/>
                <w:szCs w:val="13"/>
              </w:rPr>
              <w:t>学</w:t>
            </w:r>
          </w:p>
        </w:tc>
        <w:tc>
          <w:tcPr>
            <w:tcW w:w="8282" w:type="dxa"/>
            <w:vAlign w:val="center"/>
          </w:tcPr>
          <w:p w14:paraId="517FF2E4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反馈寻求、双元创新对制造业服务化的影响机制研究</w:t>
            </w:r>
          </w:p>
        </w:tc>
      </w:tr>
      <w:tr w:rsidR="00C13A35" w14:paraId="422D0B70" w14:textId="77777777">
        <w:trPr>
          <w:trHeight w:val="334"/>
        </w:trPr>
        <w:tc>
          <w:tcPr>
            <w:tcW w:w="484" w:type="dxa"/>
          </w:tcPr>
          <w:p w14:paraId="78BAF33A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3711F4C0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46E74D2E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3288B8FA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研发投入结构对高质量创新的影响</w:t>
            </w:r>
          </w:p>
        </w:tc>
      </w:tr>
      <w:tr w:rsidR="00C13A35" w14:paraId="0B1AC7F4" w14:textId="77777777">
        <w:trPr>
          <w:trHeight w:val="334"/>
        </w:trPr>
        <w:tc>
          <w:tcPr>
            <w:tcW w:w="484" w:type="dxa"/>
          </w:tcPr>
          <w:p w14:paraId="551C9F81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461FED35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51DBDFD2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7B2665C2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Lasso-Logistic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模型的产业资本举牌预测研究</w:t>
            </w:r>
          </w:p>
        </w:tc>
      </w:tr>
      <w:tr w:rsidR="00C13A35" w14:paraId="19DFCAC3" w14:textId="77777777">
        <w:trPr>
          <w:trHeight w:val="334"/>
        </w:trPr>
        <w:tc>
          <w:tcPr>
            <w:tcW w:w="484" w:type="dxa"/>
          </w:tcPr>
          <w:p w14:paraId="1D759483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42CF3A42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22FAD98F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山东大学</w:t>
            </w:r>
          </w:p>
        </w:tc>
        <w:tc>
          <w:tcPr>
            <w:tcW w:w="8282" w:type="dxa"/>
            <w:vAlign w:val="center"/>
          </w:tcPr>
          <w:p w14:paraId="0C7905CA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劳动力流动、产业集聚与区域收入差距</w:t>
            </w:r>
          </w:p>
        </w:tc>
      </w:tr>
      <w:tr w:rsidR="00C13A35" w14:paraId="1E1A888E" w14:textId="77777777">
        <w:trPr>
          <w:trHeight w:val="334"/>
        </w:trPr>
        <w:tc>
          <w:tcPr>
            <w:tcW w:w="484" w:type="dxa"/>
          </w:tcPr>
          <w:p w14:paraId="39724D0B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71026D4B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0527CF56" w14:textId="77777777" w:rsidR="00C13A35" w:rsidRDefault="00B4788E" w:rsidP="007C3C8C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6349B7BC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生产性服务进口技术复杂度与制造业技术创新能力</w:t>
            </w:r>
          </w:p>
        </w:tc>
      </w:tr>
      <w:tr w:rsidR="00C13A35" w14:paraId="5B11164B" w14:textId="77777777">
        <w:trPr>
          <w:trHeight w:val="334"/>
        </w:trPr>
        <w:tc>
          <w:tcPr>
            <w:tcW w:w="484" w:type="dxa"/>
          </w:tcPr>
          <w:p w14:paraId="7AF58095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3752BB88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7BF11D5B" w14:textId="77777777" w:rsidR="00C13A35" w:rsidRDefault="00B4788E" w:rsidP="007C3C8C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南京邮电大学</w:t>
            </w:r>
          </w:p>
        </w:tc>
        <w:tc>
          <w:tcPr>
            <w:tcW w:w="8282" w:type="dxa"/>
            <w:vAlign w:val="center"/>
          </w:tcPr>
          <w:p w14:paraId="6C001ACD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环境约束条件下城市宜居水平与空间差异分析</w:t>
            </w:r>
          </w:p>
        </w:tc>
      </w:tr>
      <w:tr w:rsidR="00C13A35" w14:paraId="502743FB" w14:textId="77777777">
        <w:trPr>
          <w:trHeight w:val="334"/>
        </w:trPr>
        <w:tc>
          <w:tcPr>
            <w:tcW w:w="484" w:type="dxa"/>
          </w:tcPr>
          <w:p w14:paraId="399123C6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10162552" w14:textId="77777777" w:rsidR="00C13A35" w:rsidRDefault="00C13A35" w:rsidP="007C3C8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3CA26BB8" w14:textId="77777777" w:rsidR="00C13A35" w:rsidRDefault="00B4788E" w:rsidP="007C3C8C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华中科技大学</w:t>
            </w:r>
          </w:p>
        </w:tc>
        <w:tc>
          <w:tcPr>
            <w:tcW w:w="8282" w:type="dxa"/>
            <w:vAlign w:val="center"/>
          </w:tcPr>
          <w:p w14:paraId="3E0B3CC6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城市群政策是否助推高质量发展</w:t>
            </w:r>
          </w:p>
        </w:tc>
      </w:tr>
      <w:tr w:rsidR="00C13A35" w14:paraId="01353D9A" w14:textId="77777777">
        <w:trPr>
          <w:trHeight w:val="334"/>
        </w:trPr>
        <w:tc>
          <w:tcPr>
            <w:tcW w:w="484" w:type="dxa"/>
          </w:tcPr>
          <w:p w14:paraId="0D67DC0A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647115AA" w14:textId="77777777" w:rsidR="00C13A35" w:rsidRDefault="00C13A35">
            <w:pPr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61591723" w14:textId="77777777" w:rsidR="00C13A35" w:rsidRDefault="00B4788E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武汉理工大学</w:t>
            </w:r>
            <w:proofErr w:type="spellEnd"/>
          </w:p>
        </w:tc>
        <w:tc>
          <w:tcPr>
            <w:tcW w:w="8282" w:type="dxa"/>
            <w:vAlign w:val="center"/>
          </w:tcPr>
          <w:p w14:paraId="31D987A3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金融支持绿色产业发展效率评价</w:t>
            </w:r>
          </w:p>
        </w:tc>
      </w:tr>
      <w:tr w:rsidR="00C13A35" w14:paraId="18CD8DAC" w14:textId="77777777">
        <w:trPr>
          <w:trHeight w:val="334"/>
        </w:trPr>
        <w:tc>
          <w:tcPr>
            <w:tcW w:w="484" w:type="dxa"/>
          </w:tcPr>
          <w:p w14:paraId="7288F810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14:paraId="0BA163B8" w14:textId="77777777" w:rsidR="00C13A35" w:rsidRDefault="00C13A35">
            <w:pPr>
              <w:rPr>
                <w:sz w:val="13"/>
                <w:szCs w:val="13"/>
              </w:rPr>
            </w:pPr>
          </w:p>
        </w:tc>
        <w:tc>
          <w:tcPr>
            <w:tcW w:w="1729" w:type="dxa"/>
          </w:tcPr>
          <w:p w14:paraId="497B4A0F" w14:textId="77777777" w:rsidR="00C13A35" w:rsidRDefault="00B4788E">
            <w:pPr>
              <w:pStyle w:val="TableParagraph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2" w:type="dxa"/>
            <w:vAlign w:val="center"/>
          </w:tcPr>
          <w:p w14:paraId="19D4EE7A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财政分权背景下中国省际科技与金融耦合效率探究</w:t>
            </w:r>
          </w:p>
        </w:tc>
      </w:tr>
    </w:tbl>
    <w:p w14:paraId="20C0C0AD" w14:textId="77777777" w:rsidR="00C13A35" w:rsidRDefault="00C13A35">
      <w:pPr>
        <w:rPr>
          <w:sz w:val="13"/>
          <w:szCs w:val="13"/>
          <w:lang w:eastAsia="zh-CN"/>
        </w:rPr>
        <w:sectPr w:rsidR="00C13A35">
          <w:footerReference w:type="default" r:id="rId7"/>
          <w:type w:val="continuous"/>
          <w:pgSz w:w="11910" w:h="16840"/>
          <w:pgMar w:top="227" w:right="210" w:bottom="170" w:left="227" w:header="720" w:footer="720" w:gutter="0"/>
          <w:cols w:space="720" w:equalWidth="0">
            <w:col w:w="11870"/>
          </w:cols>
        </w:sectPr>
      </w:pPr>
    </w:p>
    <w:tbl>
      <w:tblPr>
        <w:tblW w:w="10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84"/>
        <w:gridCol w:w="1729"/>
        <w:gridCol w:w="8283"/>
      </w:tblGrid>
      <w:tr w:rsidR="00C13A35" w14:paraId="0D79B2B8" w14:textId="77777777">
        <w:trPr>
          <w:trHeight w:val="334"/>
          <w:jc w:val="center"/>
        </w:trPr>
        <w:tc>
          <w:tcPr>
            <w:tcW w:w="485" w:type="dxa"/>
          </w:tcPr>
          <w:p w14:paraId="1DAC6160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4" w:type="dxa"/>
            <w:vMerge w:val="restart"/>
            <w:vAlign w:val="center"/>
          </w:tcPr>
          <w:p w14:paraId="79206003" w14:textId="77777777" w:rsidR="00C13A35" w:rsidRDefault="00B478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 w14:paraId="6A103F82" w14:textId="77777777" w:rsidR="00C13A35" w:rsidRDefault="00B478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</w:p>
          <w:p w14:paraId="0C615823" w14:textId="77777777" w:rsidR="00C13A35" w:rsidRDefault="00B478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</w:tc>
        <w:tc>
          <w:tcPr>
            <w:tcW w:w="1729" w:type="dxa"/>
          </w:tcPr>
          <w:p w14:paraId="0D7EFE80" w14:textId="77777777" w:rsidR="00C13A35" w:rsidRDefault="00B4788E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北京交通大学</w:t>
            </w:r>
          </w:p>
        </w:tc>
        <w:tc>
          <w:tcPr>
            <w:tcW w:w="8283" w:type="dxa"/>
            <w:vAlign w:val="center"/>
          </w:tcPr>
          <w:p w14:paraId="5BF6286D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Evaluate the opportunities and risks to UK small and medium sized businesses (SME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’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s) as a result of Britain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’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s decision to leave the European Union</w:t>
            </w:r>
          </w:p>
        </w:tc>
      </w:tr>
      <w:tr w:rsidR="00C13A35" w14:paraId="06B69097" w14:textId="77777777">
        <w:trPr>
          <w:trHeight w:val="334"/>
          <w:jc w:val="center"/>
        </w:trPr>
        <w:tc>
          <w:tcPr>
            <w:tcW w:w="485" w:type="dxa"/>
          </w:tcPr>
          <w:p w14:paraId="10C9FD83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vMerge/>
          </w:tcPr>
          <w:p w14:paraId="300F34B3" w14:textId="77777777" w:rsidR="00C13A35" w:rsidRDefault="00C13A35">
            <w:pPr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52659403" w14:textId="77777777" w:rsidR="00C13A35" w:rsidRDefault="00B4788E">
            <w:pPr>
              <w:pStyle w:val="TableParagraph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东北财经大学</w:t>
            </w:r>
          </w:p>
        </w:tc>
        <w:tc>
          <w:tcPr>
            <w:tcW w:w="8283" w:type="dxa"/>
            <w:vAlign w:val="center"/>
          </w:tcPr>
          <w:p w14:paraId="1DEC20E4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 xml:space="preserve">Empirical test of 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financial social security expenditure, income distribution and economic growth</w:t>
            </w:r>
          </w:p>
        </w:tc>
      </w:tr>
      <w:tr w:rsidR="00C13A35" w14:paraId="418BF076" w14:textId="77777777">
        <w:trPr>
          <w:trHeight w:val="334"/>
          <w:jc w:val="center"/>
        </w:trPr>
        <w:tc>
          <w:tcPr>
            <w:tcW w:w="485" w:type="dxa"/>
          </w:tcPr>
          <w:p w14:paraId="24D5A874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vMerge/>
          </w:tcPr>
          <w:p w14:paraId="33AC3B70" w14:textId="77777777" w:rsidR="00C13A35" w:rsidRDefault="00C13A35">
            <w:pPr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71711499" w14:textId="77777777" w:rsidR="00C13A35" w:rsidRDefault="00B4788E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1A30146A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A study on the vitality of regional economy</w:t>
            </w:r>
          </w:p>
        </w:tc>
      </w:tr>
      <w:tr w:rsidR="00C13A35" w14:paraId="3D083B3C" w14:textId="77777777">
        <w:trPr>
          <w:trHeight w:val="334"/>
          <w:jc w:val="center"/>
        </w:trPr>
        <w:tc>
          <w:tcPr>
            <w:tcW w:w="485" w:type="dxa"/>
          </w:tcPr>
          <w:p w14:paraId="3094C36C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vMerge/>
          </w:tcPr>
          <w:p w14:paraId="5619D6EE" w14:textId="77777777" w:rsidR="00C13A35" w:rsidRDefault="00C13A35">
            <w:pPr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38575A5A" w14:textId="77777777" w:rsidR="00C13A35" w:rsidRDefault="00B4788E">
            <w:pPr>
              <w:pStyle w:val="TableParagraph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3" w:type="dxa"/>
            <w:vAlign w:val="center"/>
          </w:tcPr>
          <w:p w14:paraId="0A320C22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 xml:space="preserve">Construction of CCM Between Financial Robot and Management Accounting Based on Artificial 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Intelligence and Big Data Era</w:t>
            </w:r>
          </w:p>
        </w:tc>
      </w:tr>
      <w:tr w:rsidR="00C13A35" w14:paraId="00B6350B" w14:textId="77777777">
        <w:trPr>
          <w:trHeight w:val="334"/>
          <w:jc w:val="center"/>
        </w:trPr>
        <w:tc>
          <w:tcPr>
            <w:tcW w:w="485" w:type="dxa"/>
          </w:tcPr>
          <w:p w14:paraId="7FD54030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" w:type="dxa"/>
            <w:vMerge/>
          </w:tcPr>
          <w:p w14:paraId="330C7803" w14:textId="77777777" w:rsidR="00C13A35" w:rsidRDefault="00C13A35">
            <w:pPr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0064C743" w14:textId="77777777" w:rsidR="00C13A35" w:rsidRDefault="00B4788E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353D0359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环肥还是燕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瘦？字体“胖瘦”对消费者行为的影响</w:t>
            </w:r>
          </w:p>
        </w:tc>
      </w:tr>
      <w:tr w:rsidR="00C13A35" w14:paraId="5E53B97F" w14:textId="77777777">
        <w:trPr>
          <w:trHeight w:val="334"/>
          <w:jc w:val="center"/>
        </w:trPr>
        <w:tc>
          <w:tcPr>
            <w:tcW w:w="485" w:type="dxa"/>
          </w:tcPr>
          <w:p w14:paraId="691DA256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  <w:vMerge/>
          </w:tcPr>
          <w:p w14:paraId="30E9B80D" w14:textId="77777777" w:rsidR="00C13A35" w:rsidRDefault="00C13A35">
            <w:pPr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1146A4DD" w14:textId="77777777" w:rsidR="00C13A35" w:rsidRDefault="00B4788E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广东外语外贸大学</w:t>
            </w:r>
          </w:p>
        </w:tc>
        <w:tc>
          <w:tcPr>
            <w:tcW w:w="8283" w:type="dxa"/>
            <w:vAlign w:val="center"/>
          </w:tcPr>
          <w:p w14:paraId="5E2F7977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“脱贫之殇”：为何存在脱贫又返贫现象？——脆弱性脱贫理论构建及验证</w:t>
            </w:r>
          </w:p>
        </w:tc>
      </w:tr>
      <w:tr w:rsidR="00C13A35" w14:paraId="15C2D0EA" w14:textId="77777777">
        <w:trPr>
          <w:trHeight w:val="334"/>
          <w:jc w:val="center"/>
        </w:trPr>
        <w:tc>
          <w:tcPr>
            <w:tcW w:w="485" w:type="dxa"/>
          </w:tcPr>
          <w:p w14:paraId="4D003339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4" w:type="dxa"/>
            <w:vMerge/>
            <w:vAlign w:val="center"/>
          </w:tcPr>
          <w:p w14:paraId="1BB9F5BD" w14:textId="77777777" w:rsidR="00C13A35" w:rsidRDefault="00C13A35">
            <w:pPr>
              <w:ind w:firstLine="248"/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14:paraId="481519F1" w14:textId="77777777" w:rsidR="00C13A35" w:rsidRDefault="00B4788E">
            <w:pPr>
              <w:pStyle w:val="TableParagraph"/>
              <w:spacing w:before="57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华中农业大学</w:t>
            </w:r>
            <w:proofErr w:type="spellEnd"/>
          </w:p>
        </w:tc>
        <w:tc>
          <w:tcPr>
            <w:tcW w:w="8283" w:type="dxa"/>
            <w:vAlign w:val="center"/>
          </w:tcPr>
          <w:p w14:paraId="6C911AEC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本科生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我国高校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学分绩点制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异同与教育公平之探讨</w:t>
            </w:r>
          </w:p>
        </w:tc>
      </w:tr>
      <w:tr w:rsidR="00C13A35" w14:paraId="6248EFC1" w14:textId="77777777">
        <w:trPr>
          <w:trHeight w:val="334"/>
          <w:jc w:val="center"/>
        </w:trPr>
        <w:tc>
          <w:tcPr>
            <w:tcW w:w="485" w:type="dxa"/>
          </w:tcPr>
          <w:p w14:paraId="6DD55A2D" w14:textId="77777777" w:rsidR="00C13A35" w:rsidRDefault="00B4788E">
            <w:pPr>
              <w:pStyle w:val="TableParagraph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4" w:type="dxa"/>
            <w:vMerge/>
            <w:vAlign w:val="center"/>
          </w:tcPr>
          <w:p w14:paraId="2CF160E4" w14:textId="77777777" w:rsidR="00C13A35" w:rsidRDefault="00C13A35">
            <w:pPr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431EDE13" w14:textId="77777777" w:rsidR="00C13A35" w:rsidRDefault="00B4788E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中南政法财经大学</w:t>
            </w:r>
          </w:p>
        </w:tc>
        <w:tc>
          <w:tcPr>
            <w:tcW w:w="8283" w:type="dxa"/>
            <w:vAlign w:val="center"/>
          </w:tcPr>
          <w:p w14:paraId="123A512D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“以房抢人”政策、产业结构升级与区域经济发展</w:t>
            </w:r>
          </w:p>
        </w:tc>
      </w:tr>
      <w:tr w:rsidR="00C13A35" w14:paraId="4F264333" w14:textId="77777777">
        <w:trPr>
          <w:trHeight w:val="334"/>
          <w:jc w:val="center"/>
        </w:trPr>
        <w:tc>
          <w:tcPr>
            <w:tcW w:w="485" w:type="dxa"/>
          </w:tcPr>
          <w:p w14:paraId="2322B919" w14:textId="77777777" w:rsidR="00C13A35" w:rsidRDefault="00B4788E">
            <w:pPr>
              <w:pStyle w:val="TableParagraph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4" w:type="dxa"/>
            <w:vMerge/>
            <w:vAlign w:val="center"/>
          </w:tcPr>
          <w:p w14:paraId="0623C2D6" w14:textId="77777777" w:rsidR="00C13A35" w:rsidRDefault="00C13A35">
            <w:pPr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24F63B8C" w14:textId="77777777" w:rsidR="00C13A35" w:rsidRDefault="00B4788E">
            <w:pPr>
              <w:pStyle w:val="TableParagraph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聊城大学</w:t>
            </w:r>
          </w:p>
        </w:tc>
        <w:tc>
          <w:tcPr>
            <w:tcW w:w="8283" w:type="dxa"/>
            <w:vAlign w:val="center"/>
          </w:tcPr>
          <w:p w14:paraId="15573F5B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代际经济支持对老人健康的效应研究</w:t>
            </w:r>
          </w:p>
        </w:tc>
      </w:tr>
      <w:tr w:rsidR="00C13A35" w14:paraId="15A58BC5" w14:textId="77777777">
        <w:trPr>
          <w:trHeight w:val="334"/>
          <w:jc w:val="center"/>
        </w:trPr>
        <w:tc>
          <w:tcPr>
            <w:tcW w:w="485" w:type="dxa"/>
          </w:tcPr>
          <w:p w14:paraId="09ECDDC3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vMerge/>
            <w:vAlign w:val="center"/>
          </w:tcPr>
          <w:p w14:paraId="5F043A56" w14:textId="77777777" w:rsidR="00C13A35" w:rsidRDefault="00C13A3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403ECD6F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3" w:type="dxa"/>
            <w:vAlign w:val="center"/>
          </w:tcPr>
          <w:p w14:paraId="445BED25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农村老龄化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下风险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厌恶，人际关系与农户化学品施用行为分析</w:t>
            </w:r>
          </w:p>
        </w:tc>
      </w:tr>
      <w:tr w:rsidR="00C13A35" w14:paraId="7525C8D1" w14:textId="77777777">
        <w:trPr>
          <w:trHeight w:val="334"/>
          <w:jc w:val="center"/>
        </w:trPr>
        <w:tc>
          <w:tcPr>
            <w:tcW w:w="485" w:type="dxa"/>
          </w:tcPr>
          <w:p w14:paraId="0AEFCA8E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vMerge/>
            <w:vAlign w:val="center"/>
          </w:tcPr>
          <w:p w14:paraId="2C3A4FB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4115781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3856CDE6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宏观经济环境与分析师评级变动价值</w:t>
            </w:r>
          </w:p>
        </w:tc>
      </w:tr>
      <w:tr w:rsidR="00C13A35" w14:paraId="5A8953C0" w14:textId="77777777">
        <w:trPr>
          <w:trHeight w:val="334"/>
          <w:jc w:val="center"/>
        </w:trPr>
        <w:tc>
          <w:tcPr>
            <w:tcW w:w="485" w:type="dxa"/>
          </w:tcPr>
          <w:p w14:paraId="4595F914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vMerge/>
            <w:vAlign w:val="center"/>
          </w:tcPr>
          <w:p w14:paraId="2581578C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6E08632F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52D1ED4C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金融背景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CEO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上任的公告效应和长期价值效应</w:t>
            </w:r>
          </w:p>
        </w:tc>
      </w:tr>
      <w:tr w:rsidR="00C13A35" w14:paraId="50C608D6" w14:textId="77777777">
        <w:trPr>
          <w:trHeight w:val="334"/>
          <w:jc w:val="center"/>
        </w:trPr>
        <w:tc>
          <w:tcPr>
            <w:tcW w:w="485" w:type="dxa"/>
          </w:tcPr>
          <w:p w14:paraId="615ED01A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vMerge/>
            <w:vAlign w:val="center"/>
          </w:tcPr>
          <w:p w14:paraId="0D62701B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4737C8D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2D7DDE4D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目标治理下中国式减排的特征与源泉——基于中国首次污染物排放总量控制的分析</w:t>
            </w:r>
          </w:p>
        </w:tc>
      </w:tr>
      <w:tr w:rsidR="00C13A35" w14:paraId="621664C8" w14:textId="77777777">
        <w:trPr>
          <w:trHeight w:val="334"/>
          <w:jc w:val="center"/>
        </w:trPr>
        <w:tc>
          <w:tcPr>
            <w:tcW w:w="485" w:type="dxa"/>
          </w:tcPr>
          <w:p w14:paraId="584DE3EA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vMerge/>
            <w:vAlign w:val="center"/>
          </w:tcPr>
          <w:p w14:paraId="3F2D709C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4D45DA07" w14:textId="77777777" w:rsidR="00C13A35" w:rsidRDefault="00B4788E">
            <w:pPr>
              <w:pStyle w:val="TableParagraph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0BCA11B8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区域公共品牌特色农产品价格波动现象调研及其对策研究</w:t>
            </w:r>
          </w:p>
        </w:tc>
      </w:tr>
      <w:tr w:rsidR="00C13A35" w14:paraId="7F17FBCF" w14:textId="77777777">
        <w:trPr>
          <w:trHeight w:val="334"/>
          <w:jc w:val="center"/>
        </w:trPr>
        <w:tc>
          <w:tcPr>
            <w:tcW w:w="485" w:type="dxa"/>
          </w:tcPr>
          <w:p w14:paraId="10253B8E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4" w:type="dxa"/>
            <w:vMerge/>
            <w:vAlign w:val="center"/>
          </w:tcPr>
          <w:p w14:paraId="7F6A6377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F76C4DE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聊城大学</w:t>
            </w:r>
          </w:p>
        </w:tc>
        <w:tc>
          <w:tcPr>
            <w:tcW w:w="8283" w:type="dxa"/>
            <w:vAlign w:val="center"/>
          </w:tcPr>
          <w:p w14:paraId="7A6B3D34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“老来伴”对老人健康的效应研究</w:t>
            </w:r>
          </w:p>
        </w:tc>
      </w:tr>
      <w:tr w:rsidR="00C13A35" w14:paraId="4FCD7987" w14:textId="77777777">
        <w:trPr>
          <w:trHeight w:val="334"/>
          <w:jc w:val="center"/>
        </w:trPr>
        <w:tc>
          <w:tcPr>
            <w:tcW w:w="485" w:type="dxa"/>
          </w:tcPr>
          <w:p w14:paraId="56242138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84" w:type="dxa"/>
            <w:vMerge/>
            <w:vAlign w:val="center"/>
          </w:tcPr>
          <w:p w14:paraId="431B4646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0863B89C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中南财经政法大学</w:t>
            </w:r>
            <w:proofErr w:type="spellEnd"/>
          </w:p>
        </w:tc>
        <w:tc>
          <w:tcPr>
            <w:tcW w:w="8283" w:type="dxa"/>
            <w:vAlign w:val="center"/>
          </w:tcPr>
          <w:p w14:paraId="74ADEF97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电子商务发展、消费结构升级与产业结构优化</w:t>
            </w:r>
          </w:p>
        </w:tc>
      </w:tr>
      <w:tr w:rsidR="00C13A35" w14:paraId="76268A8F" w14:textId="77777777">
        <w:trPr>
          <w:trHeight w:val="334"/>
          <w:jc w:val="center"/>
        </w:trPr>
        <w:tc>
          <w:tcPr>
            <w:tcW w:w="485" w:type="dxa"/>
          </w:tcPr>
          <w:p w14:paraId="18BC0BAF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4" w:type="dxa"/>
            <w:vMerge/>
            <w:vAlign w:val="center"/>
          </w:tcPr>
          <w:p w14:paraId="0118F1AC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4FC16B2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3" w:type="dxa"/>
            <w:vAlign w:val="center"/>
          </w:tcPr>
          <w:p w14:paraId="45FF81E2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农民工收入：认知能力与非认知能力孰轻孰重？——基于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CFPS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数据的实证检验</w:t>
            </w:r>
          </w:p>
        </w:tc>
      </w:tr>
      <w:tr w:rsidR="00C13A35" w14:paraId="5FD8ADAA" w14:textId="77777777">
        <w:trPr>
          <w:trHeight w:val="334"/>
          <w:jc w:val="center"/>
        </w:trPr>
        <w:tc>
          <w:tcPr>
            <w:tcW w:w="485" w:type="dxa"/>
          </w:tcPr>
          <w:p w14:paraId="3F9E952C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4" w:type="dxa"/>
            <w:vMerge/>
            <w:vAlign w:val="center"/>
          </w:tcPr>
          <w:p w14:paraId="41CD9153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064CFCEA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华中农业大学</w:t>
            </w:r>
          </w:p>
        </w:tc>
        <w:tc>
          <w:tcPr>
            <w:tcW w:w="8283" w:type="dxa"/>
            <w:vAlign w:val="center"/>
          </w:tcPr>
          <w:p w14:paraId="528F55BA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韦利梅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市场一体化能否推动区域经济高质量发展？——基于长三角城市群的空间计量分析</w:t>
            </w:r>
          </w:p>
        </w:tc>
      </w:tr>
      <w:tr w:rsidR="00C13A35" w14:paraId="75520F1C" w14:textId="77777777">
        <w:trPr>
          <w:trHeight w:val="334"/>
          <w:jc w:val="center"/>
        </w:trPr>
        <w:tc>
          <w:tcPr>
            <w:tcW w:w="485" w:type="dxa"/>
          </w:tcPr>
          <w:p w14:paraId="168B3E95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84" w:type="dxa"/>
            <w:vMerge/>
            <w:vAlign w:val="center"/>
          </w:tcPr>
          <w:p w14:paraId="76EC9C36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6E31CBC2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0762D355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保险——期货模式下最优定价决策问题研究</w:t>
            </w:r>
          </w:p>
        </w:tc>
      </w:tr>
      <w:tr w:rsidR="00C13A35" w14:paraId="226BA88B" w14:textId="77777777">
        <w:trPr>
          <w:trHeight w:val="334"/>
          <w:jc w:val="center"/>
        </w:trPr>
        <w:tc>
          <w:tcPr>
            <w:tcW w:w="485" w:type="dxa"/>
          </w:tcPr>
          <w:p w14:paraId="681A9DF4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4" w:type="dxa"/>
            <w:vMerge/>
            <w:vAlign w:val="center"/>
          </w:tcPr>
          <w:p w14:paraId="602A9259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C3D5212" w14:textId="77777777" w:rsidR="00C13A35" w:rsidRDefault="00B4788E">
            <w:pPr>
              <w:pStyle w:val="TableParagraph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上海大学</w:t>
            </w:r>
          </w:p>
        </w:tc>
        <w:tc>
          <w:tcPr>
            <w:tcW w:w="8283" w:type="dxa"/>
            <w:vAlign w:val="center"/>
          </w:tcPr>
          <w:p w14:paraId="37827267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地方债管理新政是否抑制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城投债发行</w:t>
            </w:r>
            <w:proofErr w:type="gramEnd"/>
          </w:p>
        </w:tc>
      </w:tr>
      <w:tr w:rsidR="00C13A35" w14:paraId="7A72017B" w14:textId="77777777">
        <w:trPr>
          <w:trHeight w:val="334"/>
          <w:jc w:val="center"/>
        </w:trPr>
        <w:tc>
          <w:tcPr>
            <w:tcW w:w="485" w:type="dxa"/>
          </w:tcPr>
          <w:p w14:paraId="172DAF25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84" w:type="dxa"/>
            <w:vMerge/>
            <w:vAlign w:val="center"/>
          </w:tcPr>
          <w:p w14:paraId="4EA4DF54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6187EE5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</w:t>
            </w:r>
            <w:r>
              <w:rPr>
                <w:rFonts w:hint="eastAsia"/>
                <w:sz w:val="13"/>
                <w:szCs w:val="13"/>
              </w:rPr>
              <w:t>学</w:t>
            </w:r>
          </w:p>
        </w:tc>
        <w:tc>
          <w:tcPr>
            <w:tcW w:w="8283" w:type="dxa"/>
            <w:vAlign w:val="center"/>
          </w:tcPr>
          <w:p w14:paraId="14C8E7D1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房地产供给侧宏观调控的时变反应特征与调控模式选择</w:t>
            </w:r>
          </w:p>
        </w:tc>
      </w:tr>
      <w:tr w:rsidR="00C13A35" w14:paraId="7783D7BA" w14:textId="77777777">
        <w:trPr>
          <w:trHeight w:val="334"/>
          <w:jc w:val="center"/>
        </w:trPr>
        <w:tc>
          <w:tcPr>
            <w:tcW w:w="485" w:type="dxa"/>
          </w:tcPr>
          <w:p w14:paraId="02AFD39C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4" w:type="dxa"/>
            <w:vMerge/>
            <w:vAlign w:val="center"/>
          </w:tcPr>
          <w:p w14:paraId="2E55A7F8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7199397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3" w:type="dxa"/>
            <w:vAlign w:val="center"/>
          </w:tcPr>
          <w:p w14:paraId="1B3FBEB5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互联网背景下长三角城市创新空间联系及辐射能力分析</w:t>
            </w:r>
          </w:p>
        </w:tc>
      </w:tr>
      <w:tr w:rsidR="00C13A35" w14:paraId="55A8CAE7" w14:textId="77777777">
        <w:trPr>
          <w:trHeight w:val="334"/>
          <w:jc w:val="center"/>
        </w:trPr>
        <w:tc>
          <w:tcPr>
            <w:tcW w:w="485" w:type="dxa"/>
          </w:tcPr>
          <w:p w14:paraId="17F800B2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84" w:type="dxa"/>
            <w:vMerge/>
            <w:vAlign w:val="center"/>
          </w:tcPr>
          <w:p w14:paraId="203F6589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B270D70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南京邮电大学</w:t>
            </w:r>
          </w:p>
        </w:tc>
        <w:tc>
          <w:tcPr>
            <w:tcW w:w="8283" w:type="dxa"/>
            <w:vAlign w:val="center"/>
          </w:tcPr>
          <w:p w14:paraId="643B6544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智慧城市视阈下城市宜居水平测度与空间差异分析</w:t>
            </w:r>
          </w:p>
        </w:tc>
      </w:tr>
      <w:tr w:rsidR="00C13A35" w14:paraId="51A93C82" w14:textId="77777777">
        <w:trPr>
          <w:trHeight w:val="334"/>
          <w:jc w:val="center"/>
        </w:trPr>
        <w:tc>
          <w:tcPr>
            <w:tcW w:w="485" w:type="dxa"/>
            <w:vAlign w:val="center"/>
          </w:tcPr>
          <w:p w14:paraId="477CDAA8" w14:textId="77777777" w:rsidR="00C13A35" w:rsidRDefault="00B4788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4" w:type="dxa"/>
            <w:vMerge/>
            <w:vAlign w:val="center"/>
          </w:tcPr>
          <w:p w14:paraId="1BDD3799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0AAB6E3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0036CED4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银行异质性、金融监管强度与银行信贷扩张——基于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PSTR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模型的实证研究</w:t>
            </w:r>
          </w:p>
        </w:tc>
      </w:tr>
      <w:tr w:rsidR="00C13A35" w14:paraId="3DBF950A" w14:textId="77777777">
        <w:trPr>
          <w:trHeight w:val="334"/>
          <w:jc w:val="center"/>
        </w:trPr>
        <w:tc>
          <w:tcPr>
            <w:tcW w:w="485" w:type="dxa"/>
          </w:tcPr>
          <w:p w14:paraId="6483287C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84" w:type="dxa"/>
            <w:vMerge/>
            <w:vAlign w:val="center"/>
          </w:tcPr>
          <w:p w14:paraId="16B4FC6F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844EA91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华中师范大学</w:t>
            </w:r>
            <w:proofErr w:type="spellEnd"/>
          </w:p>
        </w:tc>
        <w:tc>
          <w:tcPr>
            <w:tcW w:w="8283" w:type="dxa"/>
            <w:vAlign w:val="center"/>
          </w:tcPr>
          <w:p w14:paraId="46E79803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国有企业混合所有制改革的出口效应评估及其实现机制研究</w:t>
            </w:r>
          </w:p>
        </w:tc>
      </w:tr>
      <w:tr w:rsidR="00C13A35" w14:paraId="42EEFE3A" w14:textId="77777777">
        <w:trPr>
          <w:trHeight w:val="334"/>
          <w:jc w:val="center"/>
        </w:trPr>
        <w:tc>
          <w:tcPr>
            <w:tcW w:w="485" w:type="dxa"/>
          </w:tcPr>
          <w:p w14:paraId="79C57453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84" w:type="dxa"/>
            <w:vMerge/>
            <w:vAlign w:val="center"/>
          </w:tcPr>
          <w:p w14:paraId="270C903C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8061FD8" w14:textId="77777777" w:rsidR="00C13A35" w:rsidRDefault="00B4788E">
            <w:pPr>
              <w:pStyle w:val="TableParagraph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3" w:type="dxa"/>
            <w:vAlign w:val="center"/>
          </w:tcPr>
          <w:p w14:paraId="0E007757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SDA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模型的数字经济影响因素研究</w:t>
            </w:r>
          </w:p>
        </w:tc>
      </w:tr>
      <w:tr w:rsidR="00C13A35" w14:paraId="76CE7AC5" w14:textId="77777777">
        <w:trPr>
          <w:trHeight w:val="334"/>
          <w:jc w:val="center"/>
        </w:trPr>
        <w:tc>
          <w:tcPr>
            <w:tcW w:w="485" w:type="dxa"/>
          </w:tcPr>
          <w:p w14:paraId="659BC4B2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84" w:type="dxa"/>
            <w:vMerge/>
            <w:vAlign w:val="center"/>
          </w:tcPr>
          <w:p w14:paraId="23D5C166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A692CA3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湖北经济学院</w:t>
            </w:r>
            <w:proofErr w:type="spellEnd"/>
          </w:p>
        </w:tc>
        <w:tc>
          <w:tcPr>
            <w:tcW w:w="8283" w:type="dxa"/>
            <w:vAlign w:val="center"/>
          </w:tcPr>
          <w:p w14:paraId="0FE2471A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金融科技普及度、金融素养和金融决策——基于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TAR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的实证分析</w:t>
            </w:r>
          </w:p>
        </w:tc>
      </w:tr>
      <w:tr w:rsidR="00C13A35" w14:paraId="0759CD29" w14:textId="77777777">
        <w:trPr>
          <w:trHeight w:val="334"/>
          <w:jc w:val="center"/>
        </w:trPr>
        <w:tc>
          <w:tcPr>
            <w:tcW w:w="485" w:type="dxa"/>
          </w:tcPr>
          <w:p w14:paraId="6A48DEF6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84" w:type="dxa"/>
            <w:vMerge/>
            <w:vAlign w:val="center"/>
          </w:tcPr>
          <w:p w14:paraId="089E65E7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FB7FCED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中南财经政法大学</w:t>
            </w:r>
            <w:proofErr w:type="spellEnd"/>
          </w:p>
        </w:tc>
        <w:tc>
          <w:tcPr>
            <w:tcW w:w="8283" w:type="dxa"/>
            <w:vAlign w:val="center"/>
          </w:tcPr>
          <w:p w14:paraId="106ED7CF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资本市场开放能提高分析师盈余预测精准度吗？——来自沪港通的证据</w:t>
            </w:r>
          </w:p>
        </w:tc>
      </w:tr>
      <w:tr w:rsidR="00C13A35" w14:paraId="54CD3B4E" w14:textId="77777777">
        <w:trPr>
          <w:trHeight w:val="334"/>
          <w:jc w:val="center"/>
        </w:trPr>
        <w:tc>
          <w:tcPr>
            <w:tcW w:w="485" w:type="dxa"/>
          </w:tcPr>
          <w:p w14:paraId="1B2050C6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84" w:type="dxa"/>
            <w:vMerge/>
            <w:vAlign w:val="center"/>
          </w:tcPr>
          <w:p w14:paraId="41C77C38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CF54457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广东外语外贸大学</w:t>
            </w:r>
          </w:p>
        </w:tc>
        <w:tc>
          <w:tcPr>
            <w:tcW w:w="8283" w:type="dxa"/>
            <w:vAlign w:val="center"/>
          </w:tcPr>
          <w:p w14:paraId="084B88D6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农村家庭多为动态性减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贫成效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测量研究</w:t>
            </w:r>
          </w:p>
        </w:tc>
      </w:tr>
      <w:tr w:rsidR="00C13A35" w14:paraId="2BAD1443" w14:textId="77777777">
        <w:trPr>
          <w:trHeight w:val="334"/>
          <w:jc w:val="center"/>
        </w:trPr>
        <w:tc>
          <w:tcPr>
            <w:tcW w:w="485" w:type="dxa"/>
          </w:tcPr>
          <w:p w14:paraId="6068F6B3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4" w:type="dxa"/>
            <w:vMerge/>
            <w:vAlign w:val="center"/>
          </w:tcPr>
          <w:p w14:paraId="35CD294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AB5C3D1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4A25EACA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后危机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时代外商直接投资区位选择研究</w:t>
            </w:r>
          </w:p>
        </w:tc>
      </w:tr>
      <w:tr w:rsidR="00C13A35" w14:paraId="11AC5BF7" w14:textId="77777777">
        <w:trPr>
          <w:trHeight w:val="324"/>
          <w:jc w:val="center"/>
        </w:trPr>
        <w:tc>
          <w:tcPr>
            <w:tcW w:w="485" w:type="dxa"/>
          </w:tcPr>
          <w:p w14:paraId="29EF0FC1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84" w:type="dxa"/>
            <w:vMerge/>
            <w:vAlign w:val="center"/>
          </w:tcPr>
          <w:p w14:paraId="533C288B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45EC36A3" w14:textId="77777777" w:rsidR="00C13A35" w:rsidRDefault="00B4788E">
            <w:pPr>
              <w:pStyle w:val="TableParagraph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11F8D266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环保考核下的城市高质量发展：顾此失彼还是一举两得</w:t>
            </w:r>
          </w:p>
        </w:tc>
      </w:tr>
      <w:tr w:rsidR="00C13A35" w14:paraId="1853E03B" w14:textId="77777777">
        <w:trPr>
          <w:trHeight w:val="334"/>
          <w:jc w:val="center"/>
        </w:trPr>
        <w:tc>
          <w:tcPr>
            <w:tcW w:w="485" w:type="dxa"/>
          </w:tcPr>
          <w:p w14:paraId="1C50BC18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4" w:type="dxa"/>
            <w:vMerge/>
            <w:vAlign w:val="center"/>
          </w:tcPr>
          <w:p w14:paraId="604CA262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76FE763F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华中师范大学</w:t>
            </w:r>
            <w:proofErr w:type="spellEnd"/>
          </w:p>
        </w:tc>
        <w:tc>
          <w:tcPr>
            <w:tcW w:w="8283" w:type="dxa"/>
            <w:vAlign w:val="center"/>
          </w:tcPr>
          <w:p w14:paraId="1B0B3744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环境非政府组织促进城市绿色技术创新了吗？——基于非正式环境规制的视角</w:t>
            </w:r>
          </w:p>
        </w:tc>
      </w:tr>
      <w:tr w:rsidR="00C13A35" w14:paraId="4FC30348" w14:textId="77777777">
        <w:trPr>
          <w:trHeight w:val="334"/>
          <w:jc w:val="center"/>
        </w:trPr>
        <w:tc>
          <w:tcPr>
            <w:tcW w:w="485" w:type="dxa"/>
          </w:tcPr>
          <w:p w14:paraId="64CDF792" w14:textId="77777777" w:rsidR="00C13A35" w:rsidRDefault="00B4788E">
            <w:pPr>
              <w:pStyle w:val="TableParagraph"/>
              <w:spacing w:before="69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84" w:type="dxa"/>
            <w:vMerge/>
            <w:vAlign w:val="center"/>
          </w:tcPr>
          <w:p w14:paraId="4C9F8876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F42EA57" w14:textId="77777777" w:rsidR="00C13A35" w:rsidRDefault="00B4788E">
            <w:pPr>
              <w:pStyle w:val="TableParagraph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6524CC6B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利用集体建设用地建租赁房对住房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租赁市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以武汉东湖高新区为例</w:t>
            </w:r>
          </w:p>
        </w:tc>
      </w:tr>
      <w:tr w:rsidR="00C13A35" w14:paraId="7E015CC9" w14:textId="77777777">
        <w:trPr>
          <w:trHeight w:val="334"/>
          <w:jc w:val="center"/>
        </w:trPr>
        <w:tc>
          <w:tcPr>
            <w:tcW w:w="485" w:type="dxa"/>
          </w:tcPr>
          <w:p w14:paraId="0761B5E7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84" w:type="dxa"/>
            <w:vMerge/>
            <w:vAlign w:val="center"/>
          </w:tcPr>
          <w:p w14:paraId="4A8C231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7D2B8185" w14:textId="77777777" w:rsidR="00C13A35" w:rsidRDefault="00B4788E">
            <w:pPr>
              <w:pStyle w:val="TableParagraph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0914CCCC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“身份”到“职业”的转变大学生农民职业选择意愿的调查研究</w:t>
            </w:r>
          </w:p>
        </w:tc>
      </w:tr>
      <w:tr w:rsidR="00C13A35" w14:paraId="5F4F1B01" w14:textId="77777777">
        <w:trPr>
          <w:trHeight w:val="334"/>
          <w:jc w:val="center"/>
        </w:trPr>
        <w:tc>
          <w:tcPr>
            <w:tcW w:w="485" w:type="dxa"/>
          </w:tcPr>
          <w:p w14:paraId="15519172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84" w:type="dxa"/>
            <w:vMerge/>
            <w:vAlign w:val="center"/>
          </w:tcPr>
          <w:p w14:paraId="754570CB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0405064C" w14:textId="77777777" w:rsidR="00C13A35" w:rsidRDefault="00B4788E">
            <w:pPr>
              <w:pStyle w:val="TableParagraph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武汉理工大学</w:t>
            </w:r>
          </w:p>
        </w:tc>
        <w:tc>
          <w:tcPr>
            <w:tcW w:w="8283" w:type="dxa"/>
            <w:vAlign w:val="center"/>
          </w:tcPr>
          <w:p w14:paraId="4FCF5079" w14:textId="77777777" w:rsidR="00C13A35" w:rsidRDefault="00B4788E">
            <w:pPr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对外直接投资视角下中美贸易差额加剧的效应分析</w:t>
            </w:r>
          </w:p>
        </w:tc>
      </w:tr>
      <w:tr w:rsidR="00C13A35" w14:paraId="5FF2BEDF" w14:textId="77777777">
        <w:trPr>
          <w:trHeight w:val="407"/>
          <w:jc w:val="center"/>
        </w:trPr>
        <w:tc>
          <w:tcPr>
            <w:tcW w:w="485" w:type="dxa"/>
          </w:tcPr>
          <w:p w14:paraId="78CBE886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84" w:type="dxa"/>
            <w:vMerge/>
            <w:vAlign w:val="center"/>
          </w:tcPr>
          <w:p w14:paraId="41A463D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A976FBF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7EA6CC26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纵向财政关系与基层民生性公共品供给：来自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”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省直管县“的准自然实验</w:t>
            </w:r>
          </w:p>
        </w:tc>
      </w:tr>
      <w:tr w:rsidR="00C13A35" w14:paraId="6DBA311F" w14:textId="77777777">
        <w:trPr>
          <w:trHeight w:val="407"/>
          <w:jc w:val="center"/>
        </w:trPr>
        <w:tc>
          <w:tcPr>
            <w:tcW w:w="485" w:type="dxa"/>
          </w:tcPr>
          <w:p w14:paraId="7E914E98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484" w:type="dxa"/>
            <w:vMerge/>
            <w:vAlign w:val="center"/>
          </w:tcPr>
          <w:p w14:paraId="27811867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E91F293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山东财经大学</w:t>
            </w:r>
          </w:p>
        </w:tc>
        <w:tc>
          <w:tcPr>
            <w:tcW w:w="8283" w:type="dxa"/>
            <w:vAlign w:val="center"/>
          </w:tcPr>
          <w:p w14:paraId="6013ABF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“海底丝绸之路”构想及实现路径——基于“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21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世纪”海上丝绸之路“倡议</w:t>
            </w:r>
          </w:p>
        </w:tc>
      </w:tr>
      <w:tr w:rsidR="00C13A35" w14:paraId="254D40E5" w14:textId="77777777">
        <w:trPr>
          <w:trHeight w:val="407"/>
          <w:jc w:val="center"/>
        </w:trPr>
        <w:tc>
          <w:tcPr>
            <w:tcW w:w="485" w:type="dxa"/>
          </w:tcPr>
          <w:p w14:paraId="1AFB6A26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84" w:type="dxa"/>
            <w:vMerge/>
            <w:vAlign w:val="center"/>
          </w:tcPr>
          <w:p w14:paraId="3A23FF42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2045D72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湖北经济学院</w:t>
            </w:r>
          </w:p>
        </w:tc>
        <w:tc>
          <w:tcPr>
            <w:tcW w:w="8283" w:type="dxa"/>
            <w:vAlign w:val="center"/>
          </w:tcPr>
          <w:p w14:paraId="4C81A96B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“三乡工程”背景下武汉市黄陂区盘活利用空闲农房发展研究——基于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SWOT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分析</w:t>
            </w:r>
          </w:p>
        </w:tc>
      </w:tr>
      <w:tr w:rsidR="00C13A35" w14:paraId="5DEB3802" w14:textId="77777777">
        <w:trPr>
          <w:trHeight w:val="407"/>
          <w:jc w:val="center"/>
        </w:trPr>
        <w:tc>
          <w:tcPr>
            <w:tcW w:w="485" w:type="dxa"/>
          </w:tcPr>
          <w:p w14:paraId="1FBF4E8F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84" w:type="dxa"/>
            <w:vMerge/>
            <w:vAlign w:val="center"/>
          </w:tcPr>
          <w:p w14:paraId="093594B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67974FB3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江西财经大学</w:t>
            </w:r>
          </w:p>
        </w:tc>
        <w:tc>
          <w:tcPr>
            <w:tcW w:w="8283" w:type="dxa"/>
            <w:vAlign w:val="center"/>
          </w:tcPr>
          <w:p w14:paraId="32D985B5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外商投资、城乡收入差距及其动态收敛性研究</w:t>
            </w:r>
          </w:p>
        </w:tc>
      </w:tr>
      <w:tr w:rsidR="00C13A35" w14:paraId="4336D2ED" w14:textId="77777777">
        <w:trPr>
          <w:trHeight w:val="407"/>
          <w:jc w:val="center"/>
        </w:trPr>
        <w:tc>
          <w:tcPr>
            <w:tcW w:w="485" w:type="dxa"/>
          </w:tcPr>
          <w:p w14:paraId="23D09AF7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84" w:type="dxa"/>
            <w:vMerge/>
            <w:vAlign w:val="center"/>
          </w:tcPr>
          <w:p w14:paraId="14D5C156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6766BE48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广东外语外贸大学</w:t>
            </w:r>
          </w:p>
        </w:tc>
        <w:tc>
          <w:tcPr>
            <w:tcW w:w="8283" w:type="dxa"/>
            <w:vAlign w:val="center"/>
          </w:tcPr>
          <w:p w14:paraId="6B9EB947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开放促升级：自贸区设立对产业结构优化升级政策效应</w:t>
            </w:r>
          </w:p>
        </w:tc>
      </w:tr>
      <w:tr w:rsidR="00C13A35" w14:paraId="3FB6A065" w14:textId="77777777">
        <w:trPr>
          <w:trHeight w:val="407"/>
          <w:jc w:val="center"/>
        </w:trPr>
        <w:tc>
          <w:tcPr>
            <w:tcW w:w="485" w:type="dxa"/>
          </w:tcPr>
          <w:p w14:paraId="2946AAEF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lastRenderedPageBreak/>
              <w:t>41</w:t>
            </w:r>
          </w:p>
        </w:tc>
        <w:tc>
          <w:tcPr>
            <w:tcW w:w="484" w:type="dxa"/>
            <w:vMerge/>
            <w:vAlign w:val="center"/>
          </w:tcPr>
          <w:p w14:paraId="17186EB0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1F5B23F1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华中师范大学</w:t>
            </w:r>
          </w:p>
        </w:tc>
        <w:tc>
          <w:tcPr>
            <w:tcW w:w="8283" w:type="dxa"/>
            <w:vAlign w:val="center"/>
          </w:tcPr>
          <w:p w14:paraId="067E8B67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新型农业经营主体对乡村产业兴旺的影响研究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+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基于湖北三县九十八村的实地调研</w:t>
            </w:r>
          </w:p>
        </w:tc>
      </w:tr>
      <w:tr w:rsidR="00C13A35" w14:paraId="7EFCC7E0" w14:textId="77777777">
        <w:trPr>
          <w:trHeight w:val="407"/>
          <w:jc w:val="center"/>
        </w:trPr>
        <w:tc>
          <w:tcPr>
            <w:tcW w:w="485" w:type="dxa"/>
          </w:tcPr>
          <w:p w14:paraId="5C342273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42</w:t>
            </w:r>
          </w:p>
        </w:tc>
        <w:tc>
          <w:tcPr>
            <w:tcW w:w="484" w:type="dxa"/>
            <w:vMerge/>
            <w:vAlign w:val="center"/>
          </w:tcPr>
          <w:p w14:paraId="571A74DC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D020905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4220CA46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控股股东股权质押对信息披露水平的影响</w:t>
            </w:r>
          </w:p>
        </w:tc>
      </w:tr>
      <w:tr w:rsidR="00C13A35" w14:paraId="20796CD8" w14:textId="77777777">
        <w:trPr>
          <w:trHeight w:val="407"/>
          <w:jc w:val="center"/>
        </w:trPr>
        <w:tc>
          <w:tcPr>
            <w:tcW w:w="485" w:type="dxa"/>
          </w:tcPr>
          <w:p w14:paraId="428CE485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43</w:t>
            </w:r>
          </w:p>
        </w:tc>
        <w:tc>
          <w:tcPr>
            <w:tcW w:w="484" w:type="dxa"/>
            <w:vMerge/>
            <w:vAlign w:val="center"/>
          </w:tcPr>
          <w:p w14:paraId="32279DCE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4DDB95C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东南大学</w:t>
            </w:r>
          </w:p>
        </w:tc>
        <w:tc>
          <w:tcPr>
            <w:tcW w:w="8283" w:type="dxa"/>
            <w:vAlign w:val="center"/>
          </w:tcPr>
          <w:p w14:paraId="391CC9E0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社会资本与青少年教育期望城乡差异</w:t>
            </w:r>
          </w:p>
        </w:tc>
      </w:tr>
      <w:tr w:rsidR="00C13A35" w14:paraId="1E997923" w14:textId="77777777">
        <w:trPr>
          <w:trHeight w:val="407"/>
          <w:jc w:val="center"/>
        </w:trPr>
        <w:tc>
          <w:tcPr>
            <w:tcW w:w="485" w:type="dxa"/>
          </w:tcPr>
          <w:p w14:paraId="6D516578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44</w:t>
            </w:r>
          </w:p>
        </w:tc>
        <w:tc>
          <w:tcPr>
            <w:tcW w:w="484" w:type="dxa"/>
            <w:vMerge/>
            <w:vAlign w:val="center"/>
          </w:tcPr>
          <w:p w14:paraId="66AEA5FA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5224B8D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东南大学，华中科技大学</w:t>
            </w:r>
          </w:p>
        </w:tc>
        <w:tc>
          <w:tcPr>
            <w:tcW w:w="8283" w:type="dxa"/>
            <w:vAlign w:val="center"/>
          </w:tcPr>
          <w:p w14:paraId="1FB930FF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我国劳动者就业能力的分析与评价——基于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CGSS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（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2015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）数据的实证研究</w:t>
            </w:r>
          </w:p>
        </w:tc>
      </w:tr>
      <w:tr w:rsidR="00C13A35" w14:paraId="034FAD56" w14:textId="77777777">
        <w:trPr>
          <w:trHeight w:val="407"/>
          <w:jc w:val="center"/>
        </w:trPr>
        <w:tc>
          <w:tcPr>
            <w:tcW w:w="485" w:type="dxa"/>
          </w:tcPr>
          <w:p w14:paraId="00C8E6AC" w14:textId="77777777" w:rsidR="00C13A35" w:rsidRDefault="00B4788E">
            <w:pPr>
              <w:pStyle w:val="TableParagraph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45</w:t>
            </w:r>
          </w:p>
        </w:tc>
        <w:tc>
          <w:tcPr>
            <w:tcW w:w="484" w:type="dxa"/>
            <w:vMerge/>
            <w:vAlign w:val="center"/>
          </w:tcPr>
          <w:p w14:paraId="3645F561" w14:textId="77777777" w:rsidR="00C13A35" w:rsidRDefault="00C13A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34E35A1D" w14:textId="77777777" w:rsidR="00C13A35" w:rsidRDefault="00B4788E">
            <w:pPr>
              <w:pStyle w:val="TableParagraph"/>
              <w:spacing w:before="74"/>
              <w:ind w:left="0" w:right="24"/>
              <w:rPr>
                <w:color w:val="000000"/>
                <w:sz w:val="13"/>
                <w:szCs w:val="13"/>
                <w:lang w:eastAsia="zh-CN" w:bidi="ar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中南</w:t>
            </w:r>
            <w:proofErr w:type="gramStart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财经政法</w:t>
            </w:r>
            <w:proofErr w:type="gramEnd"/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大学</w:t>
            </w:r>
          </w:p>
        </w:tc>
        <w:tc>
          <w:tcPr>
            <w:tcW w:w="8283" w:type="dxa"/>
            <w:vAlign w:val="center"/>
          </w:tcPr>
          <w:p w14:paraId="1104E19B" w14:textId="77777777" w:rsidR="00C13A35" w:rsidRDefault="00B4788E">
            <w:pPr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女性受教育水平对二孩生育医院的影响——基于中国综合社会调查（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CGSS</w:t>
            </w:r>
            <w:r>
              <w:rPr>
                <w:rFonts w:hint="eastAsia"/>
                <w:color w:val="000000"/>
                <w:sz w:val="13"/>
                <w:szCs w:val="13"/>
                <w:lang w:eastAsia="zh-CN" w:bidi="ar"/>
              </w:rPr>
              <w:t>）数据的研究学</w:t>
            </w:r>
          </w:p>
        </w:tc>
      </w:tr>
    </w:tbl>
    <w:p w14:paraId="22B96E4C" w14:textId="77777777" w:rsidR="00C13A35" w:rsidRDefault="00C13A35">
      <w:pPr>
        <w:jc w:val="center"/>
        <w:rPr>
          <w:lang w:eastAsia="zh-CN"/>
        </w:rPr>
      </w:pPr>
    </w:p>
    <w:sectPr w:rsidR="00C13A35">
      <w:pgSz w:w="11910" w:h="16840"/>
      <w:pgMar w:top="1580" w:right="40" w:bottom="280" w:left="0" w:header="720" w:footer="720" w:gutter="0"/>
      <w:cols w:space="720" w:equalWidth="0">
        <w:col w:w="118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1144" w14:textId="77777777" w:rsidR="00B4788E" w:rsidRDefault="00B4788E">
      <w:r>
        <w:separator/>
      </w:r>
    </w:p>
  </w:endnote>
  <w:endnote w:type="continuationSeparator" w:id="0">
    <w:p w14:paraId="0516A796" w14:textId="77777777" w:rsidR="00B4788E" w:rsidRDefault="00B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BDC6" w14:textId="3DCB46B3" w:rsidR="00C13A35" w:rsidRDefault="00B4788E">
    <w:pPr>
      <w:pStyle w:val="a4"/>
      <w:jc w:val="center"/>
      <w:rPr>
        <w:lang w:eastAsia="zh-CN"/>
      </w:rPr>
    </w:pPr>
    <w:r>
      <w:rPr>
        <w:rFonts w:hint="eastAsia"/>
        <w:lang w:eastAsia="zh-CN"/>
      </w:rPr>
      <w:t>“工行杯”第十</w:t>
    </w:r>
    <w:r w:rsidR="007C3C8C">
      <w:rPr>
        <w:rFonts w:hint="eastAsia"/>
        <w:lang w:eastAsia="zh-CN"/>
      </w:rPr>
      <w:t>二</w:t>
    </w:r>
    <w:r>
      <w:rPr>
        <w:rFonts w:hint="eastAsia"/>
        <w:lang w:eastAsia="zh-CN"/>
      </w:rPr>
      <w:t>届湖北省大学生经济学术研讨会暨论文征集大赛组委会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5FD7" w14:textId="77777777" w:rsidR="00B4788E" w:rsidRDefault="00B4788E">
      <w:r>
        <w:separator/>
      </w:r>
    </w:p>
  </w:footnote>
  <w:footnote w:type="continuationSeparator" w:id="0">
    <w:p w14:paraId="7B496FD4" w14:textId="77777777" w:rsidR="00B4788E" w:rsidRDefault="00B4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52B"/>
    <w:rsid w:val="0050652B"/>
    <w:rsid w:val="00796485"/>
    <w:rsid w:val="007C3C8C"/>
    <w:rsid w:val="009D569F"/>
    <w:rsid w:val="00B4788E"/>
    <w:rsid w:val="00B52B75"/>
    <w:rsid w:val="00BB291E"/>
    <w:rsid w:val="00C13A35"/>
    <w:rsid w:val="055C6B60"/>
    <w:rsid w:val="2B6E580B"/>
    <w:rsid w:val="39E267E4"/>
    <w:rsid w:val="458F74CF"/>
    <w:rsid w:val="692149F3"/>
    <w:rsid w:val="7B6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ECB7"/>
  <w15:docId w15:val="{DD73E533-C505-47A9-8B1C-E3F9256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6"/>
      <w:ind w:left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2709</Characters>
  <Application>Microsoft Office Word</Application>
  <DocSecurity>0</DocSecurity>
  <Lines>22</Lines>
  <Paragraphs>6</Paragraphs>
  <ScaleCrop>false</ScaleCrop>
  <Company>China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恩宁</dc:creator>
  <cp:lastModifiedBy>向萌</cp:lastModifiedBy>
  <cp:revision>6</cp:revision>
  <dcterms:created xsi:type="dcterms:W3CDTF">2018-12-13T07:56:00Z</dcterms:created>
  <dcterms:modified xsi:type="dcterms:W3CDTF">2020-06-02T08:44:00Z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2052-11.1.0.9584</vt:lpwstr>
  </property>
</Properties>
</file>